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3FA02" w14:textId="545CE533" w:rsidR="00D33647" w:rsidRPr="00827964" w:rsidRDefault="009164AA" w:rsidP="002E0CF7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bookmarkStart w:id="0" w:name="_GoBack"/>
      <w:bookmarkEnd w:id="0"/>
      <w:r w:rsidRPr="00827964">
        <w:rPr>
          <w:rFonts w:asciiTheme="majorHAnsi" w:hAnsiTheme="majorHAnsi" w:cstheme="majorHAnsi"/>
          <w:b/>
          <w:sz w:val="22"/>
          <w:szCs w:val="22"/>
        </w:rPr>
        <w:t xml:space="preserve">DOCTORANDOS IA: BIENESTAR MENTAL DE LOS INVESTIGADORES EN </w:t>
      </w:r>
      <w:r w:rsidR="00515A54" w:rsidRPr="00827964">
        <w:rPr>
          <w:rFonts w:asciiTheme="majorHAnsi" w:hAnsiTheme="majorHAnsi" w:cstheme="majorHAnsi"/>
          <w:b/>
          <w:sz w:val="22"/>
          <w:szCs w:val="22"/>
        </w:rPr>
        <w:t>FORMACIÓN</w:t>
      </w:r>
      <w:r w:rsidR="00DE7515" w:rsidRPr="00827964">
        <w:rPr>
          <w:rFonts w:asciiTheme="majorHAnsi" w:hAnsiTheme="majorHAnsi" w:cstheme="majorHAnsi"/>
          <w:b/>
          <w:sz w:val="22"/>
          <w:szCs w:val="22"/>
        </w:rPr>
        <w:t xml:space="preserve"> (</w:t>
      </w:r>
      <w:r w:rsidR="0090500F" w:rsidRPr="00827964">
        <w:rPr>
          <w:rFonts w:asciiTheme="majorHAnsi" w:hAnsiTheme="majorHAnsi" w:cstheme="majorHAnsi"/>
          <w:b/>
          <w:sz w:val="22"/>
          <w:szCs w:val="22"/>
        </w:rPr>
        <w:t>PRIMER</w:t>
      </w:r>
      <w:r w:rsidR="00DE7515" w:rsidRPr="00827964">
        <w:rPr>
          <w:rFonts w:asciiTheme="majorHAnsi" w:hAnsiTheme="majorHAnsi" w:cstheme="majorHAnsi"/>
          <w:b/>
          <w:sz w:val="22"/>
          <w:szCs w:val="22"/>
        </w:rPr>
        <w:t>A PARTE)</w:t>
      </w:r>
    </w:p>
    <w:p w14:paraId="57EF12B9" w14:textId="77777777" w:rsidR="00312839" w:rsidRPr="00827964" w:rsidRDefault="00312839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16B743F6" w14:textId="48D96B1D" w:rsidR="00D33647" w:rsidRPr="00827964" w:rsidRDefault="00D33647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Sagrario López Ortega</w:t>
      </w:r>
    </w:p>
    <w:p w14:paraId="0FB70166" w14:textId="77777777" w:rsidR="00D33647" w:rsidRPr="00827964" w:rsidRDefault="00D33647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356C245F" w14:textId="77777777" w:rsidR="00CF36D9" w:rsidRPr="00827964" w:rsidRDefault="00CF36D9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es"/>
        </w:rPr>
      </w:pPr>
      <w:r w:rsidRPr="00827964">
        <w:rPr>
          <w:rFonts w:asciiTheme="majorHAnsi" w:hAnsiTheme="majorHAnsi" w:cstheme="majorHAnsi"/>
          <w:sz w:val="22"/>
          <w:szCs w:val="22"/>
          <w:lang w:val="es"/>
        </w:rPr>
        <w:t>Psicóloga del Gabinete Psicopedagógico UGR</w:t>
      </w:r>
    </w:p>
    <w:p w14:paraId="10BC18E5" w14:textId="77777777" w:rsidR="00CF36D9" w:rsidRPr="00827964" w:rsidRDefault="00CF36D9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es"/>
        </w:rPr>
      </w:pPr>
      <w:r w:rsidRPr="00827964">
        <w:rPr>
          <w:rFonts w:asciiTheme="majorHAnsi" w:hAnsiTheme="majorHAnsi" w:cstheme="majorHAnsi"/>
          <w:sz w:val="22"/>
          <w:szCs w:val="22"/>
          <w:lang w:val="es"/>
        </w:rPr>
        <w:t>Vicerrectorado de Estudiantes y Vida Universitaria</w:t>
      </w:r>
    </w:p>
    <w:p w14:paraId="1B13CE81" w14:textId="77777777" w:rsidR="00CF36D9" w:rsidRPr="00827964" w:rsidRDefault="00D46DBB" w:rsidP="002E0CF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es"/>
        </w:rPr>
      </w:pPr>
      <w:hyperlink r:id="rId8" w:history="1">
        <w:r w:rsidR="00CF36D9" w:rsidRPr="00827964">
          <w:rPr>
            <w:rStyle w:val="Hipervnculo"/>
            <w:rFonts w:asciiTheme="majorHAnsi" w:hAnsiTheme="majorHAnsi" w:cstheme="majorHAnsi"/>
            <w:color w:val="auto"/>
            <w:sz w:val="22"/>
            <w:szCs w:val="22"/>
            <w:lang w:val="es"/>
          </w:rPr>
          <w:t>sagralo@ugr.es</w:t>
        </w:r>
      </w:hyperlink>
    </w:p>
    <w:p w14:paraId="5705BB65" w14:textId="77777777" w:rsidR="00D33647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28407D7" w14:textId="13AF0C71" w:rsidR="00D33647" w:rsidRPr="00827964" w:rsidRDefault="00D33647" w:rsidP="002E0CF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Fecha: </w:t>
      </w:r>
      <w:r w:rsidR="00515A54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1</w:t>
      </w:r>
      <w:r w:rsidR="009524F0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4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/0</w:t>
      </w:r>
      <w:r w:rsidR="009524F0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5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/2025</w:t>
      </w:r>
    </w:p>
    <w:p w14:paraId="7E2DBF55" w14:textId="61075461" w:rsidR="00D33647" w:rsidRPr="00827964" w:rsidRDefault="00D33647" w:rsidP="002E0CF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Lugar/Modalidad: </w:t>
      </w:r>
      <w:bookmarkStart w:id="1" w:name="_Hlk201747855"/>
      <w:r w:rsidR="00515A54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Edificio UGR AI </w:t>
      </w:r>
      <w:r w:rsidR="004D4D57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(También o</w:t>
      </w:r>
      <w:r w:rsidR="00515A54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nline</w:t>
      </w:r>
      <w:r w:rsidR="004D4D57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)</w:t>
      </w:r>
    </w:p>
    <w:bookmarkEnd w:id="1"/>
    <w:p w14:paraId="1664189E" w14:textId="287E3544" w:rsidR="00D33647" w:rsidRPr="00827964" w:rsidRDefault="00D33647" w:rsidP="002E0CF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Horario: 1</w:t>
      </w:r>
      <w:r w:rsidR="00AC05CA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2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:00</w:t>
      </w:r>
      <w:r w:rsidR="00AC05CA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a 14:00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horas</w:t>
      </w:r>
    </w:p>
    <w:p w14:paraId="5A8278D5" w14:textId="5A62726C" w:rsidR="009164AA" w:rsidRPr="00827964" w:rsidRDefault="00D33647" w:rsidP="002E0CF7">
      <w:pPr>
        <w:pStyle w:val="Prrafodelista"/>
        <w:numPr>
          <w:ilvl w:val="0"/>
          <w:numId w:val="1"/>
        </w:numPr>
        <w:spacing w:line="276" w:lineRule="auto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Dirigido a</w:t>
      </w:r>
      <w:r w:rsidR="009164AA" w:rsidRPr="00827964">
        <w:rPr>
          <w:rFonts w:asciiTheme="majorHAnsi" w:hAnsiTheme="majorHAnsi" w:cstheme="majorHAnsi"/>
          <w:sz w:val="22"/>
          <w:szCs w:val="22"/>
        </w:rPr>
        <w:t xml:space="preserve"> </w:t>
      </w:r>
      <w:r w:rsidR="009164AA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Doctorandos del Centro de Inteligencia Artificial de Andalucía perteneciente a la UGR</w:t>
      </w:r>
    </w:p>
    <w:p w14:paraId="057520ED" w14:textId="77777777" w:rsidR="009164AA" w:rsidRPr="00827964" w:rsidRDefault="009164AA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5236F344" w14:textId="5D8B6400" w:rsidR="008A71F9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1. Objetivo de la actividad</w:t>
      </w:r>
    </w:p>
    <w:p w14:paraId="3DF13337" w14:textId="738FE434" w:rsidR="008A71F9" w:rsidRPr="00827964" w:rsidRDefault="00312839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El taller se enmarca en las acciones de promoción de</w:t>
      </w:r>
      <w:r w:rsidR="00414CDB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l bienestar emocional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impulsadas desde el Gabinete Psicopedagógico, con el objetivo de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prevenir el malestar psicológico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y ofrecer estrategias prácticas de autocuidado dirigidas específicamente a investigadores en formación (principalmente doctorandos/as).</w:t>
      </w:r>
    </w:p>
    <w:p w14:paraId="7A551BC1" w14:textId="0D809C6F" w:rsidR="00D33647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2. Ideas clave</w:t>
      </w:r>
      <w:r w:rsidR="00414CDB"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 abordadas en el taller</w:t>
      </w:r>
    </w:p>
    <w:p w14:paraId="04E93DAE" w14:textId="77777777" w:rsidR="00D24C17" w:rsidRPr="00827964" w:rsidRDefault="00D24C17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705C593" w14:textId="3BF5426D" w:rsidR="00312839" w:rsidRPr="00827964" w:rsidRDefault="00D24C17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Idea 1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.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</w:t>
      </w:r>
      <w:r w:rsidR="00414CDB" w:rsidRPr="00827964">
        <w:rPr>
          <w:rFonts w:asciiTheme="majorHAnsi" w:hAnsiTheme="majorHAnsi" w:cstheme="majorHAnsi"/>
          <w:sz w:val="22"/>
          <w:szCs w:val="22"/>
        </w:rPr>
        <w:t xml:space="preserve">Hay una </w:t>
      </w:r>
      <w:r w:rsidR="00312839" w:rsidRPr="00827964">
        <w:rPr>
          <w:rFonts w:asciiTheme="majorHAnsi" w:hAnsiTheme="majorHAnsi" w:cstheme="majorHAnsi"/>
          <w:sz w:val="22"/>
          <w:szCs w:val="22"/>
        </w:rPr>
        <w:t>alta prevalencia de ansiedad, depresión y abandono en este colectivo</w:t>
      </w:r>
      <w:r w:rsidR="00414CDB" w:rsidRPr="00827964">
        <w:rPr>
          <w:rFonts w:asciiTheme="majorHAnsi" w:hAnsiTheme="majorHAnsi" w:cstheme="majorHAnsi"/>
          <w:sz w:val="22"/>
          <w:szCs w:val="22"/>
        </w:rPr>
        <w:t>.</w:t>
      </w:r>
    </w:p>
    <w:p w14:paraId="499E5277" w14:textId="77777777" w:rsidR="00312839" w:rsidRPr="00827964" w:rsidRDefault="00312839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38BB6663" w14:textId="2B7F56D2" w:rsidR="001B52BF" w:rsidRPr="00827964" w:rsidRDefault="00D24C17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Idea 2.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</w:t>
      </w:r>
      <w:r w:rsidR="001B52BF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Factores de riesgo y protección específicos: Se identifican diversos factores que influyen en el bienestar mental de los estudiantes</w:t>
      </w:r>
      <w:r w:rsidR="00414CDB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.</w:t>
      </w:r>
    </w:p>
    <w:p w14:paraId="4F327920" w14:textId="5E5D9B5D" w:rsidR="00414CDB" w:rsidRPr="00827964" w:rsidRDefault="00414CDB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481E175A" w14:textId="3095669D" w:rsidR="00414CDB" w:rsidRPr="00827964" w:rsidRDefault="00414CDB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 xml:space="preserve">Idea 3. 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Entender la función de la ansiedad, signos y síntomas preocupantes, conocer el patrón de permanencia de la ansiedad.</w:t>
      </w: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 xml:space="preserve"> </w:t>
      </w:r>
    </w:p>
    <w:p w14:paraId="6E8E6B33" w14:textId="68B37F62" w:rsidR="002E0CF7" w:rsidRPr="00827964" w:rsidRDefault="002E0CF7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</w:p>
    <w:p w14:paraId="069BEBEA" w14:textId="349E9C2B" w:rsidR="002E0CF7" w:rsidRPr="00827964" w:rsidRDefault="002E0CF7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Idea 4.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El perfeccionismo y la autoexigencia como fuentes de ansiedad.</w:t>
      </w:r>
    </w:p>
    <w:p w14:paraId="5D817790" w14:textId="77777777" w:rsidR="001B52BF" w:rsidRPr="00827964" w:rsidRDefault="001B52BF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04BF6E71" w14:textId="1A3C8F75" w:rsidR="00D24C17" w:rsidRPr="00827964" w:rsidRDefault="001B52BF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Idea </w:t>
      </w:r>
      <w:r w:rsidR="002E0CF7"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5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.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</w:t>
      </w:r>
      <w:r w:rsidR="00D24C17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Importancia del autocuidado y la regulación emocional</w:t>
      </w:r>
      <w:r w:rsidR="00414CDB"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.</w:t>
      </w:r>
    </w:p>
    <w:p w14:paraId="56FC02C8" w14:textId="77777777" w:rsidR="00D24C17" w:rsidRPr="00827964" w:rsidRDefault="00D24C17" w:rsidP="002E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39DDBACC" w14:textId="77777777" w:rsidR="00D24C17" w:rsidRPr="00827964" w:rsidRDefault="00D24C1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751D01AD" w14:textId="77777777" w:rsidR="002E0CF7" w:rsidRPr="00827964" w:rsidRDefault="002E0CF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191D33D4" w14:textId="2058435D" w:rsidR="00D33647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lastRenderedPageBreak/>
        <w:t>3. Información relevante</w:t>
      </w:r>
    </w:p>
    <w:p w14:paraId="77F08347" w14:textId="60E93620" w:rsidR="00312839" w:rsidRPr="00827964" w:rsidRDefault="00312839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6DCE42DD" w14:textId="3B5AD876" w:rsidR="00312839" w:rsidRPr="00827964" w:rsidRDefault="00312839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3.1 Resumen del taller</w:t>
      </w:r>
    </w:p>
    <w:p w14:paraId="225008F6" w14:textId="77777777" w:rsidR="00312839" w:rsidRPr="00827964" w:rsidRDefault="00312839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En la primera parte del taller se compartieron datos relevantes de investigaciones recientes, que muestran una elevada prevalencia de síntomas de ansiedad, depresión y agotamiento emocional entre doctorandos. Se identificaron como principales factores de riesgo el aislamiento, la sobrecarga, las dificultades en la relación con la dirección de tesis o la falta de apoyo social. Paralelamente, se destacaron factores protectores como el autocuidado, la claridad emocional, el apoyo familiar o el vínculo positivo con el equipo investigador.</w:t>
      </w:r>
    </w:p>
    <w:p w14:paraId="22B02A0A" w14:textId="6DDDFB00" w:rsidR="00DB7D84" w:rsidRPr="00827964" w:rsidRDefault="00312839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La segunda parte del taller se centró en la ansiedad ante exámenes, defensas y situaciones evaluativas</w:t>
      </w:r>
      <w:r w:rsidR="002E0CF7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. </w:t>
      </w:r>
      <w:r w:rsidR="00DB7D84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Se abordó en primer lugar </w:t>
      </w:r>
      <w:r w:rsidR="00DB7D84"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la respuesta de ansiedad como un mecanismo adaptativo</w:t>
      </w:r>
      <w:r w:rsidR="00DB7D84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, diseñado evolutivamente para preparar al organismo frente a una amenaza. Se explicó que esta respuesta incluye activación fisiológica (como aumento de la frecuencia cardíaca o tensión muscular), pensamientos anticipatorios negativos (“voy a suspender”, “me voy a quedar en blanco”) y conductas de evitación. Se remarcó que esta reacción es normal y no necesariamente patológica, pero que se vuelve problemática cuando se mantiene en el tiempo o aparece de forma desproporcionada.</w:t>
      </w:r>
    </w:p>
    <w:p w14:paraId="5B499866" w14:textId="3CF7EB89" w:rsidR="00DB7D84" w:rsidRPr="00827964" w:rsidRDefault="00DB7D84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Uno de los aspectos clave fue la explicación de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la diferencia entre estrés y ansiedad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. El estrés se definió como una respuesta a un estímulo concreto (estresor), que desaparece cuando la causa se resuelve. En cambio, la ansiedad fue presentada como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la prolongación de esa activación incluso cuando el estímulo ya no está presente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en gran parte mantenida por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la anticipación y la evitación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lo que refuerza el problema. En este punto, se explicó cómo la evitación actúa como una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recompensa a corto plazo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(alivia temporalmente el malestar), pero a largo plazo impide el afrontamiento y cronifica la ansiedad</w:t>
      </w:r>
      <w:r w:rsidR="002E0CF7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, esto se ilustró con vídeo de un niño teniendo una rabieta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.</w:t>
      </w:r>
    </w:p>
    <w:p w14:paraId="316867EF" w14:textId="21452053" w:rsidR="00DB7D84" w:rsidRPr="00827964" w:rsidRDefault="00DB7D84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Se introdujo también la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Ley de Yerkes-Dodson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que establece que el rendimiento no es óptimo ni con una activación muy </w:t>
      </w:r>
      <w:r w:rsidR="002E0CF7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baja ni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con una activación excesiva</w:t>
      </w:r>
      <w:r w:rsidR="002E0CF7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sino en niveles intermedios de activación. Esta ley ayudó a desmitificar la idea de que “no sentir nervios es bueno”: un cierto grado de activación puede ser funcional y mejorar el desempeño, siempre que se mantenga dentro de niveles manejables.</w:t>
      </w:r>
    </w:p>
    <w:p w14:paraId="72B48466" w14:textId="159AEAE4" w:rsidR="00DB7D84" w:rsidRPr="00827964" w:rsidRDefault="00DB7D84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Se trabajó además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la relación entre perfeccionismo y ansiedad académica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. Se ilustró cómo los pensamientos dicotómicos (“todo o nada”) y las expectativas rígidas (“tengo que hacerlo perfecto”) aumentan la presión interna y dificultan la ejecución</w:t>
      </w:r>
      <w:r w:rsidR="002E0CF7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llegando incluso a inhibirla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. Frente a esto, se propuso pensar en términos de escalas de grises, aceptando la mejora progresiva y el error como parte del aprendizaje.</w:t>
      </w:r>
    </w:p>
    <w:p w14:paraId="5F858D64" w14:textId="6CBCCF4C" w:rsidR="00312839" w:rsidRPr="00827964" w:rsidRDefault="00312839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lastRenderedPageBreak/>
        <w:t>En la última parte del taller se propusieron dos ejercicios prácticos: por un lado, diseñar un plan de autocuidado personal, eligiendo dos conductas saludables para implementar en la rutina semanal; por otro, identificar un estresor real y construir un plan de acción para gestionarlo, valorando si depende del propio estudiante y qué pasos concretos puede dar</w:t>
      </w:r>
      <w:r w:rsidR="008506A3"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con el objetivo de que los participantes pudieran tomar 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acciones realistas para el cambio.</w:t>
      </w:r>
    </w:p>
    <w:p w14:paraId="571B9B5E" w14:textId="0E7A095C" w:rsidR="00312839" w:rsidRDefault="00312839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El taller finalizó con una ronda de recomendaciones, recursos disponibles en la Universidad de Granada (actividades culturales, deportivas, solidarias, etc.) y una evaluación a través de un cuestionario online. </w:t>
      </w:r>
    </w:p>
    <w:p w14:paraId="7AC5C950" w14:textId="72E87276" w:rsidR="00827964" w:rsidRPr="00827964" w:rsidRDefault="00827964" w:rsidP="002E0CF7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ES" w:eastAsia="es-ES"/>
        </w:rPr>
        <w:t>3.2 Información y datos ofrecidos durante el taller</w:t>
      </w:r>
    </w:p>
    <w:p w14:paraId="3C448C11" w14:textId="21F7D7E3" w:rsidR="00827964" w:rsidRPr="00827964" w:rsidRDefault="00827964" w:rsidP="00827964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es-ES_tradnl"/>
        </w:rPr>
      </w:pPr>
      <w:r w:rsidRPr="00827964">
        <w:rPr>
          <w:rFonts w:asciiTheme="majorHAnsi" w:hAnsiTheme="majorHAnsi" w:cstheme="majorHAnsi"/>
          <w:b/>
          <w:bCs/>
          <w:sz w:val="22"/>
          <w:szCs w:val="22"/>
          <w:lang w:val="es-ES_tradnl"/>
        </w:rPr>
        <w:t>3.</w:t>
      </w:r>
      <w:r>
        <w:rPr>
          <w:rFonts w:asciiTheme="majorHAnsi" w:hAnsiTheme="majorHAnsi" w:cstheme="majorHAnsi"/>
          <w:b/>
          <w:bCs/>
          <w:sz w:val="22"/>
          <w:szCs w:val="22"/>
          <w:lang w:val="es-ES_tradnl"/>
        </w:rPr>
        <w:t>2.1</w:t>
      </w:r>
      <w:r w:rsidRPr="00827964">
        <w:rPr>
          <w:rFonts w:asciiTheme="majorHAnsi" w:hAnsiTheme="majorHAnsi" w:cstheme="majorHAnsi"/>
          <w:b/>
          <w:bCs/>
          <w:sz w:val="22"/>
          <w:szCs w:val="22"/>
          <w:lang w:val="es-ES_tradnl"/>
        </w:rPr>
        <w:t xml:space="preserve"> </w:t>
      </w:r>
      <w:r w:rsidRPr="00827964">
        <w:rPr>
          <w:rFonts w:asciiTheme="majorHAnsi" w:hAnsiTheme="majorHAnsi" w:cstheme="majorHAnsi"/>
          <w:b/>
          <w:bCs/>
          <w:sz w:val="22"/>
          <w:szCs w:val="22"/>
        </w:rPr>
        <w:t>Definiciones de Salud Mental</w:t>
      </w:r>
    </w:p>
    <w:p w14:paraId="2CBE447D" w14:textId="77777777" w:rsidR="00827964" w:rsidRPr="00827964" w:rsidRDefault="00827964" w:rsidP="00827964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 xml:space="preserve">En la presentación se establece que la salud mental es un concepto complejo. Según: </w:t>
      </w:r>
    </w:p>
    <w:p w14:paraId="1A5640DC" w14:textId="77777777" w:rsidR="00827964" w:rsidRPr="00827964" w:rsidRDefault="00827964" w:rsidP="00827964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b/>
          <w:bCs/>
          <w:sz w:val="22"/>
          <w:szCs w:val="22"/>
        </w:rPr>
        <w:t>Organización Mundial de la Salud (2022)</w:t>
      </w:r>
      <w:r w:rsidRPr="00827964">
        <w:rPr>
          <w:rFonts w:asciiTheme="majorHAnsi" w:hAnsiTheme="majorHAnsi" w:cstheme="majorHAnsi"/>
          <w:sz w:val="22"/>
          <w:szCs w:val="22"/>
        </w:rPr>
        <w:t xml:space="preserve">, es "un estado de bienestar mental que permite a las personas hacer frente a los momentos de estrés de la vida, desarrollar todas sus habilidades, poder aprender y trabajar adecuadamente y contribuir a su comunidad". Por su parte, la </w:t>
      </w:r>
    </w:p>
    <w:p w14:paraId="7A02FC67" w14:textId="77777777" w:rsidR="00827964" w:rsidRPr="00827964" w:rsidRDefault="00827964" w:rsidP="00827964">
      <w:pPr>
        <w:pStyle w:val="NormalWeb"/>
        <w:spacing w:line="276" w:lineRule="auto"/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</w:rPr>
      </w:pPr>
      <w:r w:rsidRPr="00827964">
        <w:rPr>
          <w:rFonts w:asciiTheme="majorHAnsi" w:hAnsiTheme="majorHAnsi" w:cstheme="majorHAnsi"/>
          <w:b/>
          <w:bCs/>
          <w:sz w:val="22"/>
          <w:szCs w:val="22"/>
        </w:rPr>
        <w:t xml:space="preserve">American </w:t>
      </w:r>
      <w:proofErr w:type="spellStart"/>
      <w:r w:rsidRPr="00827964">
        <w:rPr>
          <w:rFonts w:asciiTheme="majorHAnsi" w:hAnsiTheme="majorHAnsi" w:cstheme="majorHAnsi"/>
          <w:b/>
          <w:bCs/>
          <w:sz w:val="22"/>
          <w:szCs w:val="22"/>
        </w:rPr>
        <w:t>Psychological</w:t>
      </w:r>
      <w:proofErr w:type="spellEnd"/>
      <w:r w:rsidRPr="0082796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827964">
        <w:rPr>
          <w:rFonts w:asciiTheme="majorHAnsi" w:hAnsiTheme="majorHAnsi" w:cstheme="majorHAnsi"/>
          <w:b/>
          <w:bCs/>
          <w:sz w:val="22"/>
          <w:szCs w:val="22"/>
        </w:rPr>
        <w:t>Association</w:t>
      </w:r>
      <w:proofErr w:type="spellEnd"/>
      <w:r w:rsidRPr="00827964">
        <w:rPr>
          <w:rFonts w:asciiTheme="majorHAnsi" w:hAnsiTheme="majorHAnsi" w:cstheme="majorHAnsi"/>
          <w:b/>
          <w:bCs/>
          <w:sz w:val="22"/>
          <w:szCs w:val="22"/>
        </w:rPr>
        <w:t xml:space="preserve"> (2018)</w:t>
      </w:r>
      <w:r w:rsidRPr="00827964">
        <w:rPr>
          <w:rFonts w:asciiTheme="majorHAnsi" w:hAnsiTheme="majorHAnsi" w:cstheme="majorHAnsi"/>
          <w:sz w:val="22"/>
          <w:szCs w:val="22"/>
        </w:rPr>
        <w:t xml:space="preserve"> la define como "un estado mental caracterizado por el bienestar emocional, una adecuada adaptación conductual, la relativa ausencia de ansiedad y de síntomas incapacitantes, así como la capacidad para establecer relaciones constructivas y afrontar las exigencias y tensiones ordinarias de la vida"</w:t>
      </w:r>
    </w:p>
    <w:p w14:paraId="5F99FC5E" w14:textId="7C1E7142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3.2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.2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 Contexto universitario y salud mental</w:t>
      </w:r>
    </w:p>
    <w:p w14:paraId="31739337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39E3827E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Se presenta un estudio de 2023, realizado en universidades españolas con una muestra de 59.600 estudiantes. Los datos revelan altas prevalencias de diversos problemas de salud mental:</w:t>
      </w:r>
    </w:p>
    <w:p w14:paraId="6811E99F" w14:textId="77777777" w:rsidR="00827964" w:rsidRPr="00827964" w:rsidRDefault="00827964" w:rsidP="00827964">
      <w:pPr>
        <w:numPr>
          <w:ilvl w:val="0"/>
          <w:numId w:val="13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Síntomas depresivos: Aproximadamente uno de cada dos estudiantes (49.4% y 46.9% en Fase I y II, respectivamente).</w:t>
      </w:r>
    </w:p>
    <w:p w14:paraId="123C6E67" w14:textId="77777777" w:rsidR="00827964" w:rsidRPr="00827964" w:rsidRDefault="00827964" w:rsidP="00827964">
      <w:pPr>
        <w:numPr>
          <w:ilvl w:val="0"/>
          <w:numId w:val="13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Ideación suicida: Cerca de uno de cada cinco estudiantes (22.5% y 21.4% en Fase I y II, respectivamente).</w:t>
      </w:r>
    </w:p>
    <w:p w14:paraId="33641FA3" w14:textId="77777777" w:rsidR="00827964" w:rsidRPr="00827964" w:rsidRDefault="00827964" w:rsidP="00827964">
      <w:pPr>
        <w:numPr>
          <w:ilvl w:val="0"/>
          <w:numId w:val="13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Ansiedad moderada a grave: Aproximadamente uno de cada dos estudiantes (49.5% y 52.8% en Fase I y II, respectivamente).</w:t>
      </w:r>
    </w:p>
    <w:p w14:paraId="231E8F3A" w14:textId="77777777" w:rsidR="00827964" w:rsidRPr="00827964" w:rsidRDefault="00827964" w:rsidP="00827964">
      <w:pPr>
        <w:numPr>
          <w:ilvl w:val="0"/>
          <w:numId w:val="13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Insomnio clínico o grave: Alrededor de uno de cada cinco estudiantes (21.9% y 24.1% en Fase I y II, respectivamente).</w:t>
      </w:r>
    </w:p>
    <w:p w14:paraId="666963D5" w14:textId="77777777" w:rsidR="00827964" w:rsidRPr="00827964" w:rsidRDefault="00827964" w:rsidP="00827964">
      <w:pPr>
        <w:numPr>
          <w:ilvl w:val="0"/>
          <w:numId w:val="13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Consumo de riesgo de alcohol: Aproximadamente uno de cada siete estudiantes (13.7% y 12.7% en Fase I y II, respectivamente).</w:t>
      </w:r>
    </w:p>
    <w:p w14:paraId="7427D252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lastRenderedPageBreak/>
        <w:br/>
        <w:t>Diferencias según el sexo:</w:t>
      </w:r>
    </w:p>
    <w:p w14:paraId="36BC7BDE" w14:textId="77777777" w:rsidR="00827964" w:rsidRPr="00827964" w:rsidRDefault="00827964" w:rsidP="00827964">
      <w:pPr>
        <w:numPr>
          <w:ilvl w:val="0"/>
          <w:numId w:val="1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Mayor porcentaje de screening positivo de depresión, ansiedad e insomnio clínico o grave en estudiantes de sexo femenino.</w:t>
      </w:r>
    </w:p>
    <w:p w14:paraId="77E8B2A9" w14:textId="77777777" w:rsidR="00827964" w:rsidRPr="00827964" w:rsidRDefault="00827964" w:rsidP="00827964">
      <w:pPr>
        <w:numPr>
          <w:ilvl w:val="0"/>
          <w:numId w:val="1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Mayor porcentaje de consumo de riesgo de alcohol en estudiantes de sexo masculino.</w:t>
      </w:r>
    </w:p>
    <w:p w14:paraId="351AF462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br/>
        <w:t>Diferencias según el nivel de estudios:</w:t>
      </w:r>
    </w:p>
    <w:p w14:paraId="661E1829" w14:textId="77777777" w:rsidR="00827964" w:rsidRPr="00827964" w:rsidRDefault="00827964" w:rsidP="00827964">
      <w:pPr>
        <w:numPr>
          <w:ilvl w:val="0"/>
          <w:numId w:val="15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Mayor prevalencia de depresión y ansiedad en estudiantes de Grado.</w:t>
      </w:r>
    </w:p>
    <w:p w14:paraId="2B91BE74" w14:textId="77777777" w:rsidR="00827964" w:rsidRPr="00827964" w:rsidRDefault="00827964" w:rsidP="00827964">
      <w:pPr>
        <w:numPr>
          <w:ilvl w:val="0"/>
          <w:numId w:val="15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Mayor prevalencia de insomnio clínico o grave y consumo de riesgo de alcohol en estudiantes de Máster y Doctorado.</w:t>
      </w:r>
    </w:p>
    <w:p w14:paraId="11442EA7" w14:textId="1362711D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br/>
      </w: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>3.2.3 Bienestar Psicológico en el Doctorado</w:t>
      </w:r>
    </w:p>
    <w:p w14:paraId="7FBE6D38" w14:textId="305ECFFE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br/>
        <w:t>El documento subraya que más de 86.000 personas cursan estudios de doctorado en España, y la mala salud mental es una de las principales causas de abandono. Los doctorandos experimentan niveles de estrés considerables, y se destaca el sentimiento de soledad y aislamiento.</w:t>
      </w:r>
    </w:p>
    <w:p w14:paraId="4770F228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br/>
        <w:t>Estudios revisados sobre doctorandos:</w:t>
      </w:r>
    </w:p>
    <w:p w14:paraId="5306C943" w14:textId="77777777" w:rsidR="00827964" w:rsidRPr="00827964" w:rsidRDefault="00827964" w:rsidP="00827964">
      <w:pPr>
        <w:numPr>
          <w:ilvl w:val="0"/>
          <w:numId w:val="16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proofErr w:type="spellStart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Satinsky</w:t>
      </w:r>
      <w:proofErr w:type="spellEnd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et al. </w:t>
      </w:r>
      <w:hyperlink r:id="rId9" w:tgtFrame="_blank" w:history="1">
        <w:proofErr w:type="spellStart"/>
        <w:r w:rsidRPr="00827964">
          <w:rPr>
            <w:rStyle w:val="Hipervnculo"/>
            <w:rFonts w:asciiTheme="majorHAnsi" w:eastAsia="Times New Roman" w:hAnsiTheme="majorHAnsi" w:cstheme="majorHAnsi"/>
            <w:color w:val="auto"/>
            <w:sz w:val="22"/>
            <w:szCs w:val="22"/>
            <w:lang w:val="es-CL"/>
          </w:rPr>
          <w:t>cite_start</w:t>
        </w:r>
        <w:proofErr w:type="spellEnd"/>
      </w:hyperlink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: Revisión bibliográfica que encontró una prevalencia media del 24% para la depresión y 17% para la ansiedad.</w:t>
      </w:r>
    </w:p>
    <w:p w14:paraId="4663FC49" w14:textId="77777777" w:rsidR="00827964" w:rsidRPr="00827964" w:rsidRDefault="00827964" w:rsidP="00827964">
      <w:pPr>
        <w:numPr>
          <w:ilvl w:val="0"/>
          <w:numId w:val="16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proofErr w:type="spellStart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Estupiña</w:t>
      </w:r>
      <w:proofErr w:type="spellEnd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et al. (2024): Revisión que reportó una prevalencia del 43.6% en síntomas de depresión y 58.7% en síntomas de ansiedad. Entre el 50% y 60% presentaba un trastorno psicológico común.</w:t>
      </w:r>
    </w:p>
    <w:p w14:paraId="04D25A69" w14:textId="77777777" w:rsidR="00827964" w:rsidRPr="00827964" w:rsidRDefault="00827964" w:rsidP="00827964">
      <w:pPr>
        <w:numPr>
          <w:ilvl w:val="0"/>
          <w:numId w:val="16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proofErr w:type="spellStart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Levecque</w:t>
      </w:r>
      <w:proofErr w:type="spellEnd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et al. (2017): Indicó que el 32% de los doctorandos corren riesgo de padecer un trastorno mental. Se identificaron factores como las demandas de trabajo, el estilo de liderazgo del director y la dificultad para compatibilizar la vida familiar y de investigación.</w:t>
      </w:r>
    </w:p>
    <w:p w14:paraId="14E3121D" w14:textId="77777777" w:rsidR="00827964" w:rsidRPr="00827964" w:rsidRDefault="00827964" w:rsidP="00827964">
      <w:pPr>
        <w:numPr>
          <w:ilvl w:val="0"/>
          <w:numId w:val="16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proofErr w:type="spellStart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Sorrel</w:t>
      </w:r>
      <w:proofErr w:type="spellEnd"/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 et al. (2020): Encontraron altos niveles de agotamiento emocional (80.3%), despersonalización (58%) y baja realización personal (58.9%). Solo el 19.8% de quienes experimentaban ansiedad o depresión (35.8%) buscaron ayuda profesional.</w:t>
      </w:r>
    </w:p>
    <w:p w14:paraId="663A9D34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highlight w:val="yellow"/>
          <w:lang w:val="es-CL"/>
        </w:rPr>
      </w:pPr>
    </w:p>
    <w:p w14:paraId="71ADB658" w14:textId="4C73BBB6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3.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2.4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 Factores de riesgo y protección</w:t>
      </w:r>
    </w:p>
    <w:p w14:paraId="303941BC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1F9B9534" w14:textId="77777777" w:rsidR="00827964" w:rsidRPr="00827964" w:rsidRDefault="00827964" w:rsidP="00827964">
      <w:pPr>
        <w:pStyle w:val="Prrafodelista"/>
        <w:numPr>
          <w:ilvl w:val="0"/>
          <w:numId w:val="18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Factores de riesgo: Ser mujer (dobla el riesgo), años avanzados en el doctorado (+14% de riesgo por año), baja satisfacción vital, alta interferencia emocional y escasa claridad emocional, miedo a la permanencia, bajo apoyo social, interferencia del trabajo académico en la vida personal, no tener contrato predoctoral, antecedentes de tratamiento psicológico, y una dirección de tesis ausente o distante.</w:t>
      </w:r>
    </w:p>
    <w:p w14:paraId="2EB79F71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556C8AB1" w14:textId="0EF51B2C" w:rsidR="00827964" w:rsidRDefault="00827964" w:rsidP="00827964">
      <w:pPr>
        <w:pStyle w:val="Prrafodelista"/>
        <w:numPr>
          <w:ilvl w:val="0"/>
          <w:numId w:val="18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lastRenderedPageBreak/>
        <w:t>Factores de protección: Alta satisfacción con la vida (reduce el riesgo un 9% por punto), apoyo emocional familiar (reduce un 8% por punto), aspiración a una carrera no académica (reduce el riesgo un 40%), buena relación con la dirección de tesis, compromiso con el autocuidado y la regulación emocional, alta resiliencia, habilidades emocionales (claridad y regulación) y vivir en la ciudad de origen.</w:t>
      </w:r>
    </w:p>
    <w:p w14:paraId="28E8986B" w14:textId="77777777" w:rsidR="00827964" w:rsidRPr="00827964" w:rsidRDefault="00827964" w:rsidP="00827964">
      <w:pPr>
        <w:pStyle w:val="Prrafodelista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C202998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40117D92" w14:textId="18DAB186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3.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2.5 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</w:rPr>
        <w:t>Análisis del Perfil del Usuario del Gabinete Psicopedagógico (GPP) de la UGR</w:t>
      </w:r>
    </w:p>
    <w:p w14:paraId="7A0B18A3" w14:textId="77777777" w:rsidR="00827964" w:rsidRPr="00827964" w:rsidRDefault="00827964" w:rsidP="00827964">
      <w:pPr>
        <w:pStyle w:val="NormalWeb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Style w:val="citation-137"/>
          <w:rFonts w:asciiTheme="majorHAnsi" w:hAnsiTheme="majorHAnsi" w:cstheme="majorHAnsi"/>
          <w:sz w:val="22"/>
          <w:szCs w:val="22"/>
        </w:rPr>
        <w:t>El objetivo de este análisis es conocer el perfil del alumnado que solicita los servicios del Gabinete Psicopedagógico de la UGR para tomar decisiones estratégicas basadas en la evidencia</w:t>
      </w:r>
      <w:r w:rsidRPr="00827964">
        <w:rPr>
          <w:rFonts w:asciiTheme="majorHAnsi" w:hAnsiTheme="majorHAnsi" w:cstheme="majorHAnsi"/>
          <w:sz w:val="22"/>
          <w:szCs w:val="22"/>
        </w:rPr>
        <w:t>.</w:t>
      </w:r>
    </w:p>
    <w:p w14:paraId="16BD13D0" w14:textId="77777777" w:rsidR="00827964" w:rsidRPr="00827964" w:rsidRDefault="00827964" w:rsidP="00827964">
      <w:pPr>
        <w:pStyle w:val="NormalWeb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Style w:val="citation-136"/>
          <w:rFonts w:asciiTheme="majorHAnsi" w:hAnsiTheme="majorHAnsi" w:cstheme="majorHAnsi"/>
          <w:sz w:val="22"/>
          <w:szCs w:val="22"/>
        </w:rPr>
        <w:t>Metodología y datos de la muestra</w:t>
      </w:r>
      <w:r w:rsidRPr="00827964">
        <w:rPr>
          <w:rFonts w:asciiTheme="majorHAnsi" w:hAnsiTheme="majorHAnsi" w:cstheme="majorHAnsi"/>
          <w:sz w:val="22"/>
          <w:szCs w:val="22"/>
        </w:rPr>
        <w:t>:</w:t>
      </w:r>
    </w:p>
    <w:p w14:paraId="6EADC9EF" w14:textId="77777777" w:rsidR="00827964" w:rsidRPr="00827964" w:rsidRDefault="00827964" w:rsidP="00827964">
      <w:pPr>
        <w:pStyle w:val="NormalWeb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Se analizaron 352 estudiantes de la UGR entre 2017 y 2022.</w:t>
      </w:r>
    </w:p>
    <w:p w14:paraId="1C28B895" w14:textId="77777777" w:rsidR="00827964" w:rsidRPr="00827964" w:rsidRDefault="00827964" w:rsidP="00827964">
      <w:pPr>
        <w:pStyle w:val="NormalWeb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Se utilizaron protocolos de información psicopedagógica (PIP) y listas de verificación de evaluación psicopedagógica, incluyendo aspectos cualitativos.</w:t>
      </w:r>
    </w:p>
    <w:p w14:paraId="613DEF30" w14:textId="77777777" w:rsidR="00827964" w:rsidRPr="00827964" w:rsidRDefault="00827964" w:rsidP="00827964">
      <w:pPr>
        <w:pStyle w:val="NormalWeb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Style w:val="citation-135"/>
          <w:rFonts w:asciiTheme="majorHAnsi" w:hAnsiTheme="majorHAnsi" w:cstheme="majorHAnsi"/>
          <w:sz w:val="22"/>
          <w:szCs w:val="22"/>
        </w:rPr>
        <w:t>Perfil sociodemográfico del usuario</w:t>
      </w:r>
      <w:r w:rsidRPr="00827964">
        <w:rPr>
          <w:rFonts w:asciiTheme="majorHAnsi" w:hAnsiTheme="majorHAnsi" w:cstheme="majorHAnsi"/>
          <w:sz w:val="22"/>
          <w:szCs w:val="22"/>
        </w:rPr>
        <w:t>:</w:t>
      </w:r>
    </w:p>
    <w:p w14:paraId="200DF415" w14:textId="77777777" w:rsidR="00827964" w:rsidRPr="00827964" w:rsidRDefault="00827964" w:rsidP="00827964">
      <w:pPr>
        <w:pStyle w:val="NormalWeb"/>
        <w:numPr>
          <w:ilvl w:val="0"/>
          <w:numId w:val="20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Edad media: 22.4 años (rango 17-50).</w:t>
      </w:r>
    </w:p>
    <w:p w14:paraId="525995D5" w14:textId="77777777" w:rsidR="00827964" w:rsidRPr="00827964" w:rsidRDefault="00827964" w:rsidP="00827964">
      <w:pPr>
        <w:pStyle w:val="NormalWeb"/>
        <w:numPr>
          <w:ilvl w:val="0"/>
          <w:numId w:val="20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Nacionalidad: 90.9% española, 9.1% extranjera.</w:t>
      </w:r>
    </w:p>
    <w:p w14:paraId="51D5DBCD" w14:textId="77777777" w:rsidR="00827964" w:rsidRPr="00827964" w:rsidRDefault="00827964" w:rsidP="00827964">
      <w:pPr>
        <w:pStyle w:val="NormalWeb"/>
        <w:numPr>
          <w:ilvl w:val="0"/>
          <w:numId w:val="20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Empleabilidad: 89.4% no tiene empleo, 10.8% sí trabaja.</w:t>
      </w:r>
    </w:p>
    <w:p w14:paraId="145E35FF" w14:textId="77777777" w:rsidR="00827964" w:rsidRPr="00827964" w:rsidRDefault="00827964" w:rsidP="00827964">
      <w:pPr>
        <w:pStyle w:val="NormalWeb"/>
        <w:numPr>
          <w:ilvl w:val="0"/>
          <w:numId w:val="20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Sexo: 67.9% femenino, 32.1% masculino.</w:t>
      </w:r>
    </w:p>
    <w:p w14:paraId="7D4A2809" w14:textId="77777777" w:rsidR="00827964" w:rsidRPr="00827964" w:rsidRDefault="00827964" w:rsidP="00827964">
      <w:pPr>
        <w:pStyle w:val="NormalWeb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Style w:val="citation-134"/>
          <w:rFonts w:asciiTheme="majorHAnsi" w:hAnsiTheme="majorHAnsi" w:cstheme="majorHAnsi"/>
          <w:sz w:val="22"/>
          <w:szCs w:val="22"/>
        </w:rPr>
        <w:t>Área de conocimiento</w:t>
      </w:r>
      <w:r w:rsidRPr="00827964">
        <w:rPr>
          <w:rFonts w:asciiTheme="majorHAnsi" w:hAnsiTheme="majorHAnsi" w:cstheme="majorHAnsi"/>
          <w:sz w:val="22"/>
          <w:szCs w:val="22"/>
        </w:rPr>
        <w:t>:</w:t>
      </w:r>
    </w:p>
    <w:p w14:paraId="20EEEE83" w14:textId="77777777" w:rsidR="00827964" w:rsidRPr="00827964" w:rsidRDefault="00827964" w:rsidP="00827964">
      <w:pPr>
        <w:pStyle w:val="NormalWeb"/>
        <w:numPr>
          <w:ilvl w:val="0"/>
          <w:numId w:val="21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Ciencias Sociales: 28.1%</w:t>
      </w:r>
    </w:p>
    <w:p w14:paraId="0940DA34" w14:textId="77777777" w:rsidR="00827964" w:rsidRPr="00827964" w:rsidRDefault="00827964" w:rsidP="00827964">
      <w:pPr>
        <w:pStyle w:val="NormalWeb"/>
        <w:numPr>
          <w:ilvl w:val="0"/>
          <w:numId w:val="21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Ciencias: 24.7%</w:t>
      </w:r>
    </w:p>
    <w:p w14:paraId="17FFC2BA" w14:textId="77777777" w:rsidR="00827964" w:rsidRPr="00827964" w:rsidRDefault="00827964" w:rsidP="00827964">
      <w:pPr>
        <w:pStyle w:val="NormalWeb"/>
        <w:numPr>
          <w:ilvl w:val="0"/>
          <w:numId w:val="21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Ciencias de la Salud: 19.9%</w:t>
      </w:r>
    </w:p>
    <w:p w14:paraId="49DE1823" w14:textId="77777777" w:rsidR="00827964" w:rsidRPr="00827964" w:rsidRDefault="00827964" w:rsidP="00827964">
      <w:pPr>
        <w:pStyle w:val="NormalWeb"/>
        <w:numPr>
          <w:ilvl w:val="0"/>
          <w:numId w:val="21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Ingeniería: 16.4%</w:t>
      </w:r>
    </w:p>
    <w:p w14:paraId="6850C3E4" w14:textId="77777777" w:rsidR="00827964" w:rsidRPr="00827964" w:rsidRDefault="00827964" w:rsidP="00827964">
      <w:pPr>
        <w:pStyle w:val="NormalWeb"/>
        <w:numPr>
          <w:ilvl w:val="0"/>
          <w:numId w:val="21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Artes y Humanidades: 10.5%</w:t>
      </w:r>
    </w:p>
    <w:p w14:paraId="7D77DF1C" w14:textId="77777777" w:rsidR="00827964" w:rsidRPr="00827964" w:rsidRDefault="00827964" w:rsidP="00827964">
      <w:pPr>
        <w:pStyle w:val="NormalWeb"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827964">
        <w:rPr>
          <w:rStyle w:val="citation-133"/>
          <w:rFonts w:asciiTheme="majorHAnsi" w:hAnsiTheme="majorHAnsi" w:cstheme="majorHAnsi"/>
          <w:sz w:val="22"/>
          <w:szCs w:val="22"/>
        </w:rPr>
        <w:t>Atención psicológica y consumo de psicofármacos</w:t>
      </w:r>
      <w:r w:rsidRPr="00827964">
        <w:rPr>
          <w:rFonts w:asciiTheme="majorHAnsi" w:hAnsiTheme="majorHAnsi" w:cstheme="majorHAnsi"/>
          <w:sz w:val="22"/>
          <w:szCs w:val="22"/>
        </w:rPr>
        <w:t>:</w:t>
      </w:r>
    </w:p>
    <w:p w14:paraId="7AB73AD7" w14:textId="77777777" w:rsidR="00827964" w:rsidRPr="00827964" w:rsidRDefault="00827964" w:rsidP="00827964">
      <w:pPr>
        <w:pStyle w:val="NormalWeb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El 17.31% de la muestra recibe atención psicológica en el presente, y el 49.54% la ha recibido en el pasado.</w:t>
      </w:r>
    </w:p>
    <w:p w14:paraId="62594C1B" w14:textId="77777777" w:rsidR="00827964" w:rsidRPr="00827964" w:rsidRDefault="00827964" w:rsidP="00827964">
      <w:pPr>
        <w:pStyle w:val="NormalWeb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El 8.80% de los estudiantes consume psicofármacos, siendo los más frecuentes los ansiolíticos y antidepresivos.</w:t>
      </w:r>
    </w:p>
    <w:p w14:paraId="16C98758" w14:textId="77777777" w:rsidR="00827964" w:rsidRPr="00827964" w:rsidRDefault="00827964" w:rsidP="00827964">
      <w:pPr>
        <w:pStyle w:val="NormalWeb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lastRenderedPageBreak/>
        <w:t>El 48.28% de los estudiantes que consumen psicofármacos no recibe atención psicológica.</w:t>
      </w:r>
    </w:p>
    <w:p w14:paraId="4C5A0526" w14:textId="77777777" w:rsidR="00827964" w:rsidRPr="00827964" w:rsidRDefault="00827964" w:rsidP="00827964">
      <w:pPr>
        <w:pStyle w:val="NormalWeb"/>
        <w:numPr>
          <w:ilvl w:val="0"/>
          <w:numId w:val="2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7964">
        <w:rPr>
          <w:rFonts w:asciiTheme="majorHAnsi" w:hAnsiTheme="majorHAnsi" w:cstheme="majorHAnsi"/>
          <w:sz w:val="22"/>
          <w:szCs w:val="22"/>
        </w:rPr>
        <w:t>Las razones para no buscar atención psicológica cuando se necesita incluyen una combinación de motivos, desconocimiento, motivos económicos, no considerarlo necesario, vergüenza o miedo.</w:t>
      </w:r>
    </w:p>
    <w:p w14:paraId="348455E7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53E04340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5D80E143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344EC093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4C3E9D32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1921602E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Comparación por nivel de estudios</w:t>
      </w:r>
    </w:p>
    <w:p w14:paraId="30739675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5D5FE6DC" w14:textId="77777777" w:rsidR="00827964" w:rsidRPr="00827964" w:rsidRDefault="00827964" w:rsidP="00827964">
      <w:pPr>
        <w:spacing w:line="276" w:lineRule="auto"/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noProof/>
          <w:sz w:val="22"/>
          <w:szCs w:val="22"/>
          <w:lang w:val="es-CL"/>
        </w:rPr>
        <w:drawing>
          <wp:inline distT="0" distB="0" distL="0" distR="0" wp14:anchorId="76CBCBD9" wp14:editId="035841B7">
            <wp:extent cx="4131046" cy="2144835"/>
            <wp:effectExtent l="0" t="0" r="0" b="1905"/>
            <wp:docPr id="1568281077" name="Imagen 3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81077" name="Imagen 3" descr="Imagen que contiene Interfaz de usuario gráfica&#10;&#10;El contenido generado por IA puede ser incorrecto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0" t="21058" r="5199" b="17761"/>
                    <a:stretch/>
                  </pic:blipFill>
                  <pic:spPr bwMode="auto">
                    <a:xfrm>
                      <a:off x="0" y="0"/>
                      <a:ext cx="4133409" cy="2146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87664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0252A676" w14:textId="75F117B4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3.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2.6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 xml:space="preserve"> </w:t>
      </w: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</w:rPr>
        <w:t>Análisis del Perfil del Usuario del Gabinete Psicopedagógico de la UGR para identificar líneas estratégicas del servicio</w:t>
      </w:r>
    </w:p>
    <w:p w14:paraId="37C89EF6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26870FA6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</w:rPr>
        <w:t>En este apartado, se establece la necesidad y relevancia de comprender a fondo a los estudiantes que acuden a los servicios del GPP. El objetivo principal sería optimizar las estrategias de apoyo y los programas de intervención, asegurando que se adapten de manera efectiva a las características y necesidades específicas del alumnado. Es el punto de partida para una evaluación detallada que permitirá tomar decisiones estratégicas basadas en la evidencia para mejorar el bienestar de los estudiantes universitarios.</w:t>
      </w:r>
    </w:p>
    <w:p w14:paraId="26701A57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35AF3693" w14:textId="61C9B9A7" w:rsidR="00827964" w:rsidRPr="00827964" w:rsidRDefault="00827964" w:rsidP="00827964">
      <w:pPr>
        <w:spacing w:line="276" w:lineRule="auto"/>
        <w:jc w:val="center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>Metodología del Estudio</w:t>
      </w:r>
    </w:p>
    <w:p w14:paraId="1DCD7D5F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F4F626D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Se basó en el análisis de la distribución de frecuencias de los ítems del Protocolo de Información Psicopedagógica (PIP) entre 2017 y 2022, abarcando a 352 estudiantes de la UGR. El protocolo incluye 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lastRenderedPageBreak/>
        <w:t>secciones sobre información personal, académica, acceso al servicio, registro de sesiones y aspectos psicológicos, además de una lista de verificación de evaluación psicopedagógica con diversos síntomas y dificultades.</w:t>
      </w:r>
    </w:p>
    <w:p w14:paraId="537FE349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C3F52BD" w14:textId="12E420E6" w:rsidR="00827964" w:rsidRPr="00827964" w:rsidRDefault="00827964" w:rsidP="00827964">
      <w:pPr>
        <w:spacing w:line="276" w:lineRule="auto"/>
        <w:jc w:val="center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>Resultados Clave del Análisis de Usuarios</w:t>
      </w:r>
    </w:p>
    <w:p w14:paraId="54561A17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0633C0E5" w14:textId="77777777" w:rsidR="00827964" w:rsidRPr="00827964" w:rsidRDefault="00827964" w:rsidP="00827964">
      <w:pPr>
        <w:numPr>
          <w:ilvl w:val="0"/>
          <w:numId w:val="2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Perfil Sociodemográfico: La edad promedio de los usuarios es de 22.4 años. El 90.9% son de nacionalidad española y el 89.4% están desempleados. Predomina el sexo femenino, representando el 67.9% de los usuarios.</w:t>
      </w:r>
    </w:p>
    <w:p w14:paraId="0A7BD12F" w14:textId="77777777" w:rsidR="00827964" w:rsidRPr="00827964" w:rsidRDefault="00827964" w:rsidP="00827964">
      <w:pPr>
        <w:numPr>
          <w:ilvl w:val="0"/>
          <w:numId w:val="2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Área de Conocimiento: Las áreas con mayor proporción de usuarios son Ciencias Sociales (28.1%), Ciencias (24.7%) y Ciencias de la Salud (19.9%).</w:t>
      </w:r>
    </w:p>
    <w:p w14:paraId="4B14B032" w14:textId="77777777" w:rsidR="00827964" w:rsidRPr="00827964" w:rsidRDefault="00827964" w:rsidP="00827964">
      <w:pPr>
        <w:numPr>
          <w:ilvl w:val="0"/>
          <w:numId w:val="2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Atención Psicológica y Consumo de Psicofármacos: Un 17.31% de los estudiantes encuestados recibe atención psicológica actualmente y casi la mitad (49.54%) la ha recibido en el pasado. El 8.80% consume psicofármacos (predominantemente ansiolíticos y antidepresivos), y de ellos, un 48.28% no recibe acompañamiento psicológico. Las barreras para buscar ayuda incluyen desconocimiento, motivos económicos, no considerarlo necesario, vergüenza o miedo.</w:t>
      </w:r>
    </w:p>
    <w:p w14:paraId="73B849E0" w14:textId="77777777" w:rsidR="00827964" w:rsidRPr="00827964" w:rsidRDefault="00827964" w:rsidP="00827964">
      <w:pPr>
        <w:numPr>
          <w:ilvl w:val="0"/>
          <w:numId w:val="24"/>
        </w:num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Síntomas y Dificultades Comunes: Los problemas más frecuentes reportados por los estudiantes incluyen el exceso de pensamientos (81.3%), ánimo bajo (77.3%), falta de motivación (71.8%), ansiedad (70.2%), dificultad para tomar decisiones (69.1%), problemas de concentración (66.1%), e irritabilidad (63.1%). También se mencionan problemas con la planificación académica, miedo a exámenes o tesis, soledad y dificultades en las relaciones interpersonales.</w:t>
      </w:r>
    </w:p>
    <w:p w14:paraId="7FF6FCCC" w14:textId="77777777" w:rsidR="00827964" w:rsidRPr="00827964" w:rsidRDefault="00827964" w:rsidP="00827964">
      <w:pPr>
        <w:spacing w:line="276" w:lineRule="auto"/>
        <w:ind w:left="720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414D2A00" w14:textId="1E974954" w:rsidR="00827964" w:rsidRPr="00827964" w:rsidRDefault="00827964" w:rsidP="00827964">
      <w:pPr>
        <w:spacing w:line="276" w:lineRule="auto"/>
        <w:jc w:val="center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sz w:val="22"/>
          <w:szCs w:val="22"/>
          <w:lang w:val="es-CL"/>
        </w:rPr>
        <w:t>Discusión sobre un Programa de Prevención y Gestión del Estrés</w:t>
      </w:r>
    </w:p>
    <w:p w14:paraId="485120A2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6B5DD080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>La sintomatología general observada en los usuarios apunta a un patrón característico de estrés, lo que resalta la importancia de implementar programas específicos de prevención y manejo del estrés.</w:t>
      </w:r>
    </w:p>
    <w:p w14:paraId="09149CB0" w14:textId="77777777" w:rsidR="00827964" w:rsidRPr="00827964" w:rsidRDefault="00827964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765C6E1B" w14:textId="77777777" w:rsidR="005D6290" w:rsidRPr="00827964" w:rsidRDefault="005D6290" w:rsidP="00827964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</w:p>
    <w:p w14:paraId="1F798C8D" w14:textId="3032319B" w:rsidR="00523CB9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4. Conclusión</w:t>
      </w:r>
    </w:p>
    <w:p w14:paraId="0FB3018C" w14:textId="77777777" w:rsidR="002E0CF7" w:rsidRPr="00827964" w:rsidRDefault="002E0CF7" w:rsidP="0076685B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El taller puso de relieve la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alta prevalencia de problemas de salud mental en el entorno universitario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especialmente entre doctorandos, donde factores como el aislamiento, la presión académica y la relación con la dirección de tesis juegan un papel clave en el malestar psicológico. A pesar de ello,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pocos estudiantes solicitan ayuda profesional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>.</w:t>
      </w:r>
    </w:p>
    <w:p w14:paraId="1AD51F7D" w14:textId="7AB7B993" w:rsidR="00ED4F5D" w:rsidRPr="00827964" w:rsidRDefault="002E0CF7" w:rsidP="0076685B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lastRenderedPageBreak/>
        <w:t xml:space="preserve">Se concluye que es fundamental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normalizar la ansiedad como respuesta adaptativa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, enseñar a gestionarla eficazmente y promover estrategias de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autocuidado, regulación emocional y planificación realista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. Además, se evidenció la necesidad de implementar </w:t>
      </w:r>
      <w:r w:rsidRPr="00827964">
        <w:rPr>
          <w:rFonts w:asciiTheme="majorHAnsi" w:eastAsia="Times New Roman" w:hAnsiTheme="majorHAnsi" w:cstheme="majorHAnsi"/>
          <w:bCs/>
          <w:sz w:val="22"/>
          <w:szCs w:val="22"/>
          <w:lang w:val="es-ES" w:eastAsia="es-ES"/>
        </w:rPr>
        <w:t>programas preventivos estructurados</w:t>
      </w:r>
      <w:r w:rsidRPr="00827964">
        <w:rPr>
          <w:rFonts w:asciiTheme="majorHAnsi" w:eastAsia="Times New Roman" w:hAnsiTheme="majorHAnsi" w:cstheme="majorHAnsi"/>
          <w:sz w:val="22"/>
          <w:szCs w:val="22"/>
          <w:lang w:val="es-ES" w:eastAsia="es-ES"/>
        </w:rPr>
        <w:t xml:space="preserve"> y de facilitar el acceso a recursos de apoyo en el entorno universitario.</w:t>
      </w:r>
    </w:p>
    <w:p w14:paraId="5A9075BB" w14:textId="77777777" w:rsidR="002E0CF7" w:rsidRPr="00827964" w:rsidRDefault="002E0CF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</w:p>
    <w:p w14:paraId="5369951F" w14:textId="389DCF48" w:rsidR="00D33647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b/>
          <w:bCs/>
          <w:sz w:val="22"/>
          <w:szCs w:val="22"/>
          <w:lang w:val="es-CL"/>
        </w:rPr>
        <w:t>5. Anexos (opcional)</w:t>
      </w:r>
    </w:p>
    <w:p w14:paraId="1A43CF22" w14:textId="20C4DC90" w:rsidR="00D33647" w:rsidRPr="00827964" w:rsidRDefault="00D33647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CL"/>
        </w:rPr>
      </w:pPr>
      <w:r w:rsidRPr="00827964">
        <w:rPr>
          <w:rFonts w:asciiTheme="majorHAnsi" w:eastAsia="Times New Roman" w:hAnsiTheme="majorHAnsi" w:cstheme="majorHAnsi"/>
          <w:sz w:val="22"/>
          <w:szCs w:val="22"/>
          <w:lang w:val="es-CL"/>
        </w:rPr>
        <w:t xml:space="preserve">- Presentación </w:t>
      </w:r>
    </w:p>
    <w:p w14:paraId="3640C65C" w14:textId="77777777" w:rsidR="00304212" w:rsidRPr="00827964" w:rsidRDefault="00304212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6E068D36" w14:textId="77777777" w:rsidR="00304212" w:rsidRPr="00827964" w:rsidRDefault="00304212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22DC84B3" w14:textId="481F3FAE" w:rsidR="00304212" w:rsidRPr="00827964" w:rsidRDefault="00304212" w:rsidP="002E0CF7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sectPr w:rsidR="00304212" w:rsidRPr="00827964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DEB18" w14:textId="77777777" w:rsidR="009E3EF3" w:rsidRDefault="009E3EF3">
      <w:r>
        <w:separator/>
      </w:r>
    </w:p>
  </w:endnote>
  <w:endnote w:type="continuationSeparator" w:id="0">
    <w:p w14:paraId="09519F86" w14:textId="77777777" w:rsidR="009E3EF3" w:rsidRDefault="009E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3B2BAE-A386-41D3-AF0A-93C7C83AE32D}"/>
    <w:embedBold r:id="rId2" w:fontKey="{9A21074E-56A0-45AF-90BC-6D0BC0D760A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B6DC0C5-6143-49F7-9E5D-46A28058DE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41DA3BB-5DFF-4035-985C-95FC428149D5}"/>
    <w:embedItalic r:id="rId5" w:fontKey="{CEC01E18-D478-4CC2-AD7A-3CC8709195C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A5F7B48-406C-4957-B079-03C6BB8EEF73}"/>
    <w:embedBold r:id="rId7" w:fontKey="{FA2827B8-D363-4487-9B88-08CE25E8A171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E4A1DE0B-CEF7-4110-9955-1D4712E7188E}"/>
    <w:embedBold r:id="rId9" w:fontKey="{CDA5FF21-6CCC-41C3-8934-7DE77F349591}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447999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2DC749C" w14:textId="1161DEA4" w:rsidR="00523CB9" w:rsidRDefault="00523CB9" w:rsidP="00EE67B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EF2C781" w14:textId="77777777" w:rsidR="00523CB9" w:rsidRDefault="00523CB9" w:rsidP="00523CB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sz w:val="22"/>
        <w:szCs w:val="22"/>
      </w:rPr>
      <w:id w:val="79141376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E070B16" w14:textId="1627ACF4" w:rsidR="00523CB9" w:rsidRPr="00523CB9" w:rsidRDefault="00523CB9" w:rsidP="00EE67B9">
        <w:pPr>
          <w:pStyle w:val="Piedepgina"/>
          <w:framePr w:wrap="none" w:vAnchor="text" w:hAnchor="margin" w:xAlign="right" w:y="1"/>
          <w:rPr>
            <w:rStyle w:val="Nmerodepgina"/>
            <w:sz w:val="22"/>
            <w:szCs w:val="22"/>
          </w:rPr>
        </w:pPr>
        <w:r w:rsidRPr="00523CB9">
          <w:rPr>
            <w:rStyle w:val="Nmerodepgina"/>
            <w:sz w:val="22"/>
            <w:szCs w:val="22"/>
          </w:rPr>
          <w:fldChar w:fldCharType="begin"/>
        </w:r>
        <w:r w:rsidRPr="00523CB9">
          <w:rPr>
            <w:rStyle w:val="Nmerodepgina"/>
            <w:sz w:val="22"/>
            <w:szCs w:val="22"/>
          </w:rPr>
          <w:instrText xml:space="preserve"> PAGE </w:instrText>
        </w:r>
        <w:r w:rsidRPr="00523CB9">
          <w:rPr>
            <w:rStyle w:val="Nmerodepgina"/>
            <w:sz w:val="22"/>
            <w:szCs w:val="22"/>
          </w:rPr>
          <w:fldChar w:fldCharType="separate"/>
        </w:r>
        <w:r w:rsidRPr="00523CB9">
          <w:rPr>
            <w:rStyle w:val="Nmerodepgina"/>
            <w:noProof/>
            <w:sz w:val="22"/>
            <w:szCs w:val="22"/>
          </w:rPr>
          <w:t>2</w:t>
        </w:r>
        <w:r w:rsidRPr="00523CB9">
          <w:rPr>
            <w:rStyle w:val="Nmerodepgina"/>
            <w:sz w:val="22"/>
            <w:szCs w:val="22"/>
          </w:rPr>
          <w:fldChar w:fldCharType="end"/>
        </w:r>
      </w:p>
    </w:sdtContent>
  </w:sdt>
  <w:p w14:paraId="4A028A27" w14:textId="1AF4EDFB" w:rsidR="00304212" w:rsidRDefault="00304212" w:rsidP="00523CB9">
    <w:pPr>
      <w:spacing w:line="259" w:lineRule="auto"/>
      <w:ind w:right="360"/>
      <w:jc w:val="center"/>
      <w:rPr>
        <w:sz w:val="18"/>
        <w:szCs w:val="18"/>
      </w:rPr>
    </w:pPr>
  </w:p>
  <w:p w14:paraId="5E7ADA73" w14:textId="77777777" w:rsidR="00304212" w:rsidRDefault="00304212">
    <w:pPr>
      <w:spacing w:line="259" w:lineRule="auto"/>
      <w:jc w:val="center"/>
      <w:rPr>
        <w:sz w:val="18"/>
        <w:szCs w:val="18"/>
      </w:rPr>
    </w:pPr>
  </w:p>
  <w:p w14:paraId="19308C11" w14:textId="77777777" w:rsidR="00304212" w:rsidRDefault="003042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Palatino" w:eastAsia="Palatino" w:hAnsi="Palatino" w:cs="Palatin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AF005" w14:textId="77777777" w:rsidR="009E3EF3" w:rsidRDefault="009E3EF3">
      <w:r>
        <w:separator/>
      </w:r>
    </w:p>
  </w:footnote>
  <w:footnote w:type="continuationSeparator" w:id="0">
    <w:p w14:paraId="70BA9A00" w14:textId="77777777" w:rsidR="009E3EF3" w:rsidRDefault="009E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016FA" w14:textId="77777777" w:rsidR="00304212" w:rsidRDefault="0030421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</w:rPr>
    </w:pPr>
  </w:p>
  <w:tbl>
    <w:tblPr>
      <w:tblStyle w:val="a0"/>
      <w:tblW w:w="2772" w:type="dxa"/>
      <w:tblInd w:w="-605" w:type="dxa"/>
      <w:tblLayout w:type="fixed"/>
      <w:tblLook w:val="0000" w:firstRow="0" w:lastRow="0" w:firstColumn="0" w:lastColumn="0" w:noHBand="0" w:noVBand="0"/>
    </w:tblPr>
    <w:tblGrid>
      <w:gridCol w:w="2772"/>
    </w:tblGrid>
    <w:tr w:rsidR="00304212" w14:paraId="78A00D3A" w14:textId="77777777">
      <w:trPr>
        <w:trHeight w:val="1271"/>
      </w:trPr>
      <w:tc>
        <w:tcPr>
          <w:tcW w:w="2772" w:type="dxa"/>
        </w:tcPr>
        <w:p w14:paraId="1D8E56AE" w14:textId="77777777" w:rsidR="00304212" w:rsidRDefault="009E3EF3">
          <w:r>
            <w:rPr>
              <w:rFonts w:ascii="Helvetica Neue" w:eastAsia="Helvetica Neue" w:hAnsi="Helvetica Neue" w:cs="Helvetica Neue"/>
              <w:noProof/>
            </w:rPr>
            <w:drawing>
              <wp:inline distT="0" distB="0" distL="0" distR="0" wp14:anchorId="0BB44709" wp14:editId="1E15DC2B">
                <wp:extent cx="1753553" cy="504825"/>
                <wp:effectExtent l="0" t="0" r="0" b="0"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553" cy="504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7AC246E" wp14:editId="31FE5C64">
                    <wp:simplePos x="0" y="0"/>
                    <wp:positionH relativeFrom="column">
                      <wp:posOffset>495300</wp:posOffset>
                    </wp:positionH>
                    <wp:positionV relativeFrom="paragraph">
                      <wp:posOffset>558800</wp:posOffset>
                    </wp:positionV>
                    <wp:extent cx="3638550" cy="390525"/>
                    <wp:effectExtent l="0" t="0" r="0" b="0"/>
                    <wp:wrapNone/>
                    <wp:docPr id="9" name="Rectángulo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3536250" y="3594263"/>
                              <a:ext cx="3619500" cy="371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686050" w14:textId="77777777" w:rsidR="00304212" w:rsidRDefault="009E3EF3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000000"/>
                                    <w:sz w:val="20"/>
                                  </w:rPr>
                                  <w:t>Vicerrectorado de Estudiantes y Vida Universitaria</w:t>
                                </w:r>
                              </w:p>
                              <w:p w14:paraId="03439304" w14:textId="77777777" w:rsidR="00304212" w:rsidRDefault="009E3EF3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20"/>
                                  </w:rPr>
                                  <w:t>Unidad de Orientación Académica (Gabinete Psicopedagógico)</w:t>
                                </w:r>
                              </w:p>
                            </w:txbxContent>
                          </wps:txbx>
                          <wps:bodyPr spcFirstLastPara="1" wrap="square" lIns="72000" tIns="0" rIns="0" bIns="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7AC246E" id="Rectángulo 9" o:spid="_x0000_s1026" style="position:absolute;margin-left:39pt;margin-top:44pt;width:286.5pt;height:3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" stroked="f">
                    <v:textbox inset="2mm,0,0,0">
                      <w:txbxContent>
                        <w:p w14:paraId="14686050" w14:textId="77777777" w:rsidR="00304212" w:rsidRDefault="009E3EF3">
                          <w:pPr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0"/>
                            </w:rPr>
                            <w:t>Vicerrectorado de Estudiantes y Vida Universitaria</w:t>
                          </w:r>
                        </w:p>
                        <w:p w14:paraId="03439304" w14:textId="77777777" w:rsidR="00304212" w:rsidRDefault="009E3EF3">
                          <w:pPr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0"/>
                            </w:rPr>
                            <w:t>Unidad de Orientación Académica (Gabinete Psicopedagógico)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2F2856DE" w14:textId="77777777" w:rsidR="00304212" w:rsidRDefault="009E3E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2B264C" wp14:editId="4068ED67">
              <wp:simplePos x="0" y="0"/>
              <wp:positionH relativeFrom="column">
                <wp:posOffset>190500</wp:posOffset>
              </wp:positionH>
              <wp:positionV relativeFrom="paragraph">
                <wp:posOffset>-292099</wp:posOffset>
              </wp:positionV>
              <wp:extent cx="6350" cy="12700"/>
              <wp:effectExtent l="0" t="0" r="0" b="0"/>
              <wp:wrapNone/>
              <wp:docPr id="8" name="Conector recto de flech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4663058" y="3776825"/>
                        <a:ext cx="1365885" cy="63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FABF8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190500</wp:posOffset>
              </wp:positionH>
              <wp:positionV relativeFrom="paragraph">
                <wp:posOffset>-292099</wp:posOffset>
              </wp:positionV>
              <wp:extent cx="6350" cy="12700"/>
              <wp:effectExtent b="0" l="0" r="0" t="0"/>
              <wp:wrapNone/>
              <wp:docPr id="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8A3"/>
    <w:multiLevelType w:val="multilevel"/>
    <w:tmpl w:val="EDB0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43DDC"/>
    <w:multiLevelType w:val="multilevel"/>
    <w:tmpl w:val="D73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16362"/>
    <w:multiLevelType w:val="multilevel"/>
    <w:tmpl w:val="F5D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06BB8"/>
    <w:multiLevelType w:val="multilevel"/>
    <w:tmpl w:val="611E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771C5"/>
    <w:multiLevelType w:val="hybridMultilevel"/>
    <w:tmpl w:val="ACA815D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77AA3"/>
    <w:multiLevelType w:val="multilevel"/>
    <w:tmpl w:val="1A70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17FF8"/>
    <w:multiLevelType w:val="multilevel"/>
    <w:tmpl w:val="6584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24782"/>
    <w:multiLevelType w:val="multilevel"/>
    <w:tmpl w:val="F63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F44C4"/>
    <w:multiLevelType w:val="multilevel"/>
    <w:tmpl w:val="A00E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75C07"/>
    <w:multiLevelType w:val="multilevel"/>
    <w:tmpl w:val="8904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73E68"/>
    <w:multiLevelType w:val="multilevel"/>
    <w:tmpl w:val="B838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76ADD"/>
    <w:multiLevelType w:val="hybridMultilevel"/>
    <w:tmpl w:val="F7900AA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8539A"/>
    <w:multiLevelType w:val="multilevel"/>
    <w:tmpl w:val="FB90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72B0B"/>
    <w:multiLevelType w:val="multilevel"/>
    <w:tmpl w:val="F77A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3650F"/>
    <w:multiLevelType w:val="multilevel"/>
    <w:tmpl w:val="8FD0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1F2F92"/>
    <w:multiLevelType w:val="multilevel"/>
    <w:tmpl w:val="42F8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705F4D"/>
    <w:multiLevelType w:val="hybridMultilevel"/>
    <w:tmpl w:val="3B185E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E3B"/>
    <w:multiLevelType w:val="multilevel"/>
    <w:tmpl w:val="E4EC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D2108"/>
    <w:multiLevelType w:val="hybridMultilevel"/>
    <w:tmpl w:val="AD1E03CC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575784"/>
    <w:multiLevelType w:val="multilevel"/>
    <w:tmpl w:val="344E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963F9B"/>
    <w:multiLevelType w:val="hybridMultilevel"/>
    <w:tmpl w:val="CD3C26F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574DA"/>
    <w:multiLevelType w:val="multilevel"/>
    <w:tmpl w:val="1586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BC6FA3"/>
    <w:multiLevelType w:val="hybridMultilevel"/>
    <w:tmpl w:val="1256B4F0"/>
    <w:lvl w:ilvl="0" w:tplc="8E76DA1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C194A"/>
    <w:multiLevelType w:val="hybridMultilevel"/>
    <w:tmpl w:val="A71439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21"/>
  </w:num>
  <w:num w:numId="4">
    <w:abstractNumId w:val="5"/>
  </w:num>
  <w:num w:numId="5">
    <w:abstractNumId w:val="13"/>
  </w:num>
  <w:num w:numId="6">
    <w:abstractNumId w:val="14"/>
  </w:num>
  <w:num w:numId="7">
    <w:abstractNumId w:val="10"/>
  </w:num>
  <w:num w:numId="8">
    <w:abstractNumId w:val="11"/>
  </w:num>
  <w:num w:numId="9">
    <w:abstractNumId w:val="18"/>
  </w:num>
  <w:num w:numId="10">
    <w:abstractNumId w:val="22"/>
  </w:num>
  <w:num w:numId="11">
    <w:abstractNumId w:val="16"/>
  </w:num>
  <w:num w:numId="12">
    <w:abstractNumId w:val="12"/>
  </w:num>
  <w:num w:numId="13">
    <w:abstractNumId w:val="8"/>
  </w:num>
  <w:num w:numId="14">
    <w:abstractNumId w:val="6"/>
  </w:num>
  <w:num w:numId="15">
    <w:abstractNumId w:val="9"/>
  </w:num>
  <w:num w:numId="16">
    <w:abstractNumId w:val="17"/>
  </w:num>
  <w:num w:numId="17">
    <w:abstractNumId w:val="4"/>
  </w:num>
  <w:num w:numId="18">
    <w:abstractNumId w:val="20"/>
  </w:num>
  <w:num w:numId="19">
    <w:abstractNumId w:val="2"/>
  </w:num>
  <w:num w:numId="20">
    <w:abstractNumId w:val="19"/>
  </w:num>
  <w:num w:numId="21">
    <w:abstractNumId w:val="0"/>
  </w:num>
  <w:num w:numId="22">
    <w:abstractNumId w:val="7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12"/>
    <w:rsid w:val="00055FDD"/>
    <w:rsid w:val="00085B5E"/>
    <w:rsid w:val="000C7A52"/>
    <w:rsid w:val="000F6787"/>
    <w:rsid w:val="000F7703"/>
    <w:rsid w:val="00113175"/>
    <w:rsid w:val="00151859"/>
    <w:rsid w:val="00193534"/>
    <w:rsid w:val="001B52BF"/>
    <w:rsid w:val="00206A4E"/>
    <w:rsid w:val="002653ED"/>
    <w:rsid w:val="002B4ED4"/>
    <w:rsid w:val="002E0CF7"/>
    <w:rsid w:val="00304212"/>
    <w:rsid w:val="00312839"/>
    <w:rsid w:val="003A3551"/>
    <w:rsid w:val="00414CDB"/>
    <w:rsid w:val="0046311E"/>
    <w:rsid w:val="004A155D"/>
    <w:rsid w:val="004D4D57"/>
    <w:rsid w:val="004F4D24"/>
    <w:rsid w:val="00515A54"/>
    <w:rsid w:val="00523CB9"/>
    <w:rsid w:val="0054116C"/>
    <w:rsid w:val="005D3019"/>
    <w:rsid w:val="005D493A"/>
    <w:rsid w:val="005D6290"/>
    <w:rsid w:val="00600FAC"/>
    <w:rsid w:val="0064092B"/>
    <w:rsid w:val="00693954"/>
    <w:rsid w:val="006B277A"/>
    <w:rsid w:val="006D0F65"/>
    <w:rsid w:val="00746F06"/>
    <w:rsid w:val="0076685B"/>
    <w:rsid w:val="0078447A"/>
    <w:rsid w:val="007A4EE5"/>
    <w:rsid w:val="007B4143"/>
    <w:rsid w:val="00827964"/>
    <w:rsid w:val="008506A3"/>
    <w:rsid w:val="008A71F9"/>
    <w:rsid w:val="0090500F"/>
    <w:rsid w:val="009164AA"/>
    <w:rsid w:val="009524F0"/>
    <w:rsid w:val="009C5599"/>
    <w:rsid w:val="009D365A"/>
    <w:rsid w:val="009E3EF3"/>
    <w:rsid w:val="009F71FA"/>
    <w:rsid w:val="00A62397"/>
    <w:rsid w:val="00A8186F"/>
    <w:rsid w:val="00AC05CA"/>
    <w:rsid w:val="00AD2762"/>
    <w:rsid w:val="00B03688"/>
    <w:rsid w:val="00B135A9"/>
    <w:rsid w:val="00B16BF1"/>
    <w:rsid w:val="00B27042"/>
    <w:rsid w:val="00BA3714"/>
    <w:rsid w:val="00C86057"/>
    <w:rsid w:val="00C94F54"/>
    <w:rsid w:val="00CB2CD6"/>
    <w:rsid w:val="00CF36D9"/>
    <w:rsid w:val="00D24C17"/>
    <w:rsid w:val="00D33647"/>
    <w:rsid w:val="00D46DBB"/>
    <w:rsid w:val="00DB13BE"/>
    <w:rsid w:val="00DB7D84"/>
    <w:rsid w:val="00DC43C9"/>
    <w:rsid w:val="00DD020F"/>
    <w:rsid w:val="00DE0DD6"/>
    <w:rsid w:val="00DE7515"/>
    <w:rsid w:val="00E070D7"/>
    <w:rsid w:val="00ED4F5D"/>
    <w:rsid w:val="00EF6DC6"/>
    <w:rsid w:val="00F31EEC"/>
    <w:rsid w:val="00F4096F"/>
    <w:rsid w:val="00F40F80"/>
    <w:rsid w:val="00F4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0D7"/>
  <w15:docId w15:val="{2E0E7166-9137-ED46-8809-439C5C97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CD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52D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D07"/>
  </w:style>
  <w:style w:type="paragraph" w:styleId="Piedepgina">
    <w:name w:val="footer"/>
    <w:basedOn w:val="Normal"/>
    <w:link w:val="PiedepginaCar"/>
    <w:uiPriority w:val="99"/>
    <w:unhideWhenUsed/>
    <w:rsid w:val="00B52D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D07"/>
  </w:style>
  <w:style w:type="character" w:styleId="Refdecomentario">
    <w:name w:val="annotation reference"/>
    <w:basedOn w:val="Fuentedeprrafopredeter"/>
    <w:uiPriority w:val="99"/>
    <w:semiHidden/>
    <w:unhideWhenUsed/>
    <w:rsid w:val="00C748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4863"/>
    <w:pPr>
      <w:spacing w:after="16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486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48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86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72FC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2F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D336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36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Textoennegrita">
    <w:name w:val="Strong"/>
    <w:basedOn w:val="Fuentedeprrafopredeter"/>
    <w:uiPriority w:val="22"/>
    <w:qFormat/>
    <w:rsid w:val="00D33647"/>
    <w:rPr>
      <w:b/>
      <w:bCs/>
    </w:rPr>
  </w:style>
  <w:style w:type="character" w:styleId="Nmerodepgina">
    <w:name w:val="page number"/>
    <w:basedOn w:val="Fuentedeprrafopredeter"/>
    <w:uiPriority w:val="99"/>
    <w:semiHidden/>
    <w:unhideWhenUsed/>
    <w:rsid w:val="00523CB9"/>
  </w:style>
  <w:style w:type="table" w:styleId="Tablaconcuadrcula">
    <w:name w:val="Table Grid"/>
    <w:basedOn w:val="Tablanormal"/>
    <w:uiPriority w:val="39"/>
    <w:rsid w:val="00746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37">
    <w:name w:val="citation-137"/>
    <w:basedOn w:val="Fuentedeprrafopredeter"/>
    <w:rsid w:val="00113175"/>
  </w:style>
  <w:style w:type="character" w:customStyle="1" w:styleId="citation-136">
    <w:name w:val="citation-136"/>
    <w:basedOn w:val="Fuentedeprrafopredeter"/>
    <w:rsid w:val="00113175"/>
  </w:style>
  <w:style w:type="character" w:customStyle="1" w:styleId="citation-135">
    <w:name w:val="citation-135"/>
    <w:basedOn w:val="Fuentedeprrafopredeter"/>
    <w:rsid w:val="00113175"/>
  </w:style>
  <w:style w:type="character" w:customStyle="1" w:styleId="citation-134">
    <w:name w:val="citation-134"/>
    <w:basedOn w:val="Fuentedeprrafopredeter"/>
    <w:rsid w:val="00113175"/>
  </w:style>
  <w:style w:type="character" w:customStyle="1" w:styleId="citation-133">
    <w:name w:val="citation-133"/>
    <w:basedOn w:val="Fuentedeprrafopredeter"/>
    <w:rsid w:val="00113175"/>
  </w:style>
  <w:style w:type="character" w:customStyle="1" w:styleId="citation-132">
    <w:name w:val="citation-132"/>
    <w:basedOn w:val="Fuentedeprrafopredeter"/>
    <w:rsid w:val="00113175"/>
  </w:style>
  <w:style w:type="character" w:customStyle="1" w:styleId="sr-only">
    <w:name w:val="sr-only"/>
    <w:basedOn w:val="Fuentedeprrafopredeter"/>
    <w:rsid w:val="002E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90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5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gralo@ugr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2021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c2sNLB+DMLcs0N90Ebzm/fr7wg==">CgMxLjAyCGguZ2pkZ3hzOAByITFmV3FJRTM2d0J5Vm5XQXRfZTVraV80bENoVms4SVlmXw==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2119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Del Sagrario Lopez Ortega</cp:lastModifiedBy>
  <cp:revision>2</cp:revision>
  <dcterms:created xsi:type="dcterms:W3CDTF">2025-07-11T10:39:00Z</dcterms:created>
  <dcterms:modified xsi:type="dcterms:W3CDTF">2025-07-11T10:39:00Z</dcterms:modified>
</cp:coreProperties>
</file>